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insideH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blPrEx/>
        <w:trPr>
          <w:trHeight w:val="1842"/>
        </w:trPr>
        <w:tc>
          <w:tcPr>
            <w:shd w:val="clear" w:color="auto" w:fill="auto"/>
            <w:tcBorders>
              <w:bottom w:val="single" w:color="auto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ind w:left="57" w:right="57"/>
              <w:jc w:val="center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ind w:left="57" w:right="57"/>
              <w:jc w:val="center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57" w:right="57"/>
              <w:jc w:val="center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line="240" w:lineRule="exact"/>
            </w:pPr>
            <w:r/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</w:tr>
      <w:tr>
        <w:tblPrEx/>
        <w:trPr>
          <w:trHeight w:val="993"/>
        </w:trPr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74" w:type="dxa"/>
            <w:textDirection w:val="lrTb"/>
            <w:noWrap w:val="false"/>
          </w:tcPr>
          <w:p>
            <w:pPr>
              <w:ind w:right="57"/>
              <w:spacing w:line="22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ind w:right="57"/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ПРИКАЗ     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>
              <w:rPr>
                <w:b/>
                <w:sz w:val="28"/>
                <w:szCs w:val="28"/>
              </w:rPr>
              <w:t xml:space="preserve">                      БОЕРЫК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ind w:right="57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2694940</wp:posOffset>
                </wp:positionH>
                <wp:positionV relativeFrom="paragraph">
                  <wp:posOffset>-1855470</wp:posOffset>
                </wp:positionV>
                <wp:extent cx="720090" cy="720090"/>
                <wp:effectExtent l="0" t="0" r="0" b="0"/>
                <wp:wrapNone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/>
                        <pic:nvPr/>
                      </pic:nvPicPr>
                      <pic:blipFill>
                        <a:blip r:embed="rId15"/>
                        <a:srcRect l="330" t="397" r="495" b="516"/>
                        <a:stretch/>
                      </pic:blipFill>
                      <pic:spPr bwMode="auto"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7728;o:allowoverlap:true;o:allowincell:true;mso-position-horizontal-relative:text;margin-left:212.20pt;mso-position-horizontal:absolute;mso-position-vertical-relative:text;margin-top:-146.10pt;mso-position-vertical:absolute;width:56.70pt;height:56.70pt;mso-wrap-distance-left:9.00pt;mso-wrap-distance-top:0.00pt;mso-wrap-distance-right:9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8752;o:allowoverlap:true;o:allowincell:true;mso-position-horizontal-relative:text;margin-left:-19.65pt;mso-position-horizontal:absolute;mso-position-vertical-relative:text;margin-top:-145.85pt;mso-position-vertical:absolute;width:229.05pt;height:56.1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Республики Татарстан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3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6704;o:allowoverlap:true;o:allowincell:true;mso-position-horizontal-relative:text;margin-left:266.45pt;mso-position-horizontal:absolute;mso-position-vertical-relative:text;margin-top:-146.65pt;mso-position-vertical:absolute;width:237.50pt;height:52.3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Республикасы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r>
                    </w:p>
                    <w:p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Мә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</w:rPr>
                        <w:t xml:space="preserve">г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арИф һәм фән МИНИСТРЛЫГЫ</w:t>
                      </w:r>
                      <w:r>
                        <w:rPr>
                          <w:spacing w:val="-4"/>
                          <w:sz w:val="28"/>
                          <w:szCs w:val="28"/>
                        </w:rPr>
                      </w:r>
                      <w:r>
                        <w:rPr>
                          <w:spacing w:val="-4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8"/>
        </w:rPr>
      </w:r>
      <w:r>
        <w:rPr>
          <w:szCs w:val="28"/>
        </w:rPr>
      </w:r>
    </w:p>
    <w:p>
      <w:pPr>
        <w:ind w:right="5385"/>
        <w:rPr>
          <w:rFonts w:eastAsia="Calibri"/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</w:rPr>
        <w:t xml:space="preserve">О проведении</w:t>
      </w:r>
      <w:r>
        <w:rPr>
          <w:color w:val="000000"/>
          <w:sz w:val="28"/>
          <w:szCs w:val="28"/>
        </w:rPr>
        <w:t xml:space="preserve"> всероссийской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  <w:lang w:bidi="ru-RU"/>
        </w:rPr>
        <w:t xml:space="preserve">олимпиады</w:t>
      </w:r>
      <w:r>
        <w:rPr>
          <w:rFonts w:eastAsia="Calibri"/>
          <w:color w:val="000000"/>
          <w:sz w:val="28"/>
          <w:szCs w:val="28"/>
          <w:lang w:bidi="ru-RU"/>
        </w:rPr>
        <w:t xml:space="preserve"> по предпринимательству для </w:t>
      </w:r>
      <w:r>
        <w:rPr>
          <w:rFonts w:eastAsia="Calibri"/>
          <w:color w:val="000000"/>
          <w:sz w:val="28"/>
          <w:szCs w:val="28"/>
          <w:lang w:bidi="ru-RU"/>
        </w:rPr>
        <w:t xml:space="preserve">7</w:t>
      </w:r>
      <w:r>
        <w:rPr>
          <w:rFonts w:eastAsia="Calibri"/>
          <w:color w:val="000000"/>
          <w:sz w:val="28"/>
          <w:szCs w:val="28"/>
          <w:lang w:bidi="ru-RU"/>
        </w:rPr>
        <w:t xml:space="preserve">-11 классов общеобразовательных организаций</w:t>
      </w:r>
      <w:r>
        <w:rPr>
          <w:rFonts w:eastAsia="Calibri"/>
          <w:color w:val="000000"/>
          <w:sz w:val="28"/>
          <w:szCs w:val="28"/>
          <w:lang w:bidi="ru-RU"/>
        </w:rPr>
      </w:r>
      <w:r>
        <w:rPr>
          <w:rFonts w:eastAsia="Calibri"/>
          <w:color w:val="000000"/>
          <w:sz w:val="28"/>
          <w:szCs w:val="28"/>
          <w:lang w:bidi="ru-RU"/>
        </w:rPr>
      </w:r>
    </w:p>
    <w:p>
      <w:pPr>
        <w:ind w:firstLine="851"/>
        <w:jc w:val="both"/>
        <w:widowControl w:val="off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851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В соответствии с приказом Министерства образования и нау</w:t>
      </w:r>
      <w:r>
        <w:rPr>
          <w:sz w:val="28"/>
          <w:szCs w:val="28"/>
        </w:rPr>
        <w:t xml:space="preserve">ки Республики Татарстан от </w:t>
      </w:r>
      <w:r>
        <w:rPr>
          <w:sz w:val="28"/>
          <w:szCs w:val="28"/>
        </w:rPr>
        <w:t xml:space="preserve">15</w:t>
      </w:r>
      <w:r>
        <w:rPr>
          <w:sz w:val="28"/>
          <w:szCs w:val="28"/>
        </w:rPr>
        <w:t xml:space="preserve">.10.202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№ под-17</w:t>
      </w:r>
      <w:r>
        <w:rPr>
          <w:sz w:val="28"/>
          <w:szCs w:val="28"/>
        </w:rPr>
        <w:t xml:space="preserve">29</w:t>
      </w:r>
      <w:r>
        <w:rPr>
          <w:sz w:val="28"/>
          <w:szCs w:val="28"/>
        </w:rPr>
        <w:t xml:space="preserve">/2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«Об утверждении Календарного плана мероприятий по развитию олимпиадного движения в Республике Татарстан в 202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/202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учебном году»</w:t>
      </w:r>
      <w:r>
        <w:rPr>
          <w:sz w:val="28"/>
          <w:szCs w:val="28"/>
        </w:rPr>
        <w:t xml:space="preserve"> п р и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а з ы в а ю: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3"/>
        </w:numPr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Провести 19-20 апреля 2025 года заключительный этап </w:t>
      </w:r>
      <w:r>
        <w:rPr>
          <w:color w:val="000000"/>
          <w:sz w:val="28"/>
          <w:szCs w:val="28"/>
        </w:rPr>
        <w:t xml:space="preserve">всероссийской </w:t>
      </w:r>
      <w:r>
        <w:rPr>
          <w:color w:val="000000"/>
          <w:sz w:val="28"/>
          <w:szCs w:val="28"/>
        </w:rPr>
        <w:t xml:space="preserve">олимпиады школьников по предпринимательству</w:t>
      </w:r>
      <w:r>
        <w:rPr>
          <w:color w:val="000000"/>
          <w:sz w:val="28"/>
          <w:szCs w:val="28"/>
        </w:rPr>
        <w:t xml:space="preserve"> для обучающихся </w:t>
      </w:r>
      <w:r>
        <w:rPr>
          <w:color w:val="000000"/>
          <w:sz w:val="28"/>
          <w:szCs w:val="28"/>
        </w:rPr>
        <w:t xml:space="preserve">7</w:t>
      </w:r>
      <w:r>
        <w:rPr>
          <w:color w:val="000000"/>
          <w:sz w:val="28"/>
          <w:szCs w:val="28"/>
        </w:rPr>
        <w:t xml:space="preserve">-11 классов общеобразовательных организаций Республики Татарстан и Российской Федерации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г.Елабуга</w:t>
      </w:r>
      <w:r>
        <w:rPr>
          <w:color w:val="000000"/>
          <w:sz w:val="28"/>
          <w:szCs w:val="28"/>
        </w:rPr>
        <w:t xml:space="preserve"> в 202</w:t>
      </w:r>
      <w:r>
        <w:rPr>
          <w:color w:val="000000"/>
          <w:sz w:val="28"/>
          <w:szCs w:val="28"/>
        </w:rPr>
        <w:t xml:space="preserve">5</w:t>
      </w:r>
      <w:r>
        <w:rPr>
          <w:color w:val="000000"/>
          <w:sz w:val="28"/>
          <w:szCs w:val="28"/>
        </w:rPr>
        <w:t xml:space="preserve"> году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3"/>
        </w:numPr>
        <w:ind w:left="0" w:firstLine="709"/>
        <w:jc w:val="both"/>
      </w:pPr>
      <w:r>
        <w:rPr>
          <w:color w:val="000000"/>
          <w:sz w:val="28"/>
          <w:szCs w:val="28"/>
        </w:rPr>
        <w:t xml:space="preserve">Утвердить</w:t>
      </w:r>
      <w:r>
        <w:rPr>
          <w:color w:val="000000"/>
          <w:sz w:val="28"/>
          <w:szCs w:val="28"/>
        </w:rPr>
        <w:t xml:space="preserve"> прилагаем</w:t>
      </w:r>
      <w:r>
        <w:rPr>
          <w:color w:val="000000"/>
          <w:sz w:val="28"/>
          <w:szCs w:val="28"/>
        </w:rPr>
        <w:t xml:space="preserve">ое П</w:t>
      </w:r>
      <w:r>
        <w:rPr>
          <w:color w:val="000000"/>
          <w:sz w:val="28"/>
          <w:szCs w:val="28"/>
        </w:rPr>
        <w:t xml:space="preserve">оложение</w:t>
      </w:r>
      <w:r>
        <w:rPr>
          <w:color w:val="000000"/>
          <w:sz w:val="28"/>
          <w:szCs w:val="28"/>
        </w:rPr>
        <w:t xml:space="preserve"> о проведении </w:t>
      </w:r>
      <w:r>
        <w:rPr>
          <w:color w:val="000000"/>
          <w:sz w:val="28"/>
          <w:szCs w:val="28"/>
        </w:rPr>
        <w:t xml:space="preserve">всероссийской олимпиаде школьников по предпринимательству </w:t>
      </w:r>
      <w:r>
        <w:rPr>
          <w:color w:val="000000"/>
          <w:sz w:val="28"/>
          <w:szCs w:val="28"/>
        </w:rPr>
        <w:t xml:space="preserve">2024/2025 учебного года.</w:t>
      </w:r>
      <w:r>
        <w:rPr>
          <w:color w:val="000000"/>
          <w:sz w:val="28"/>
          <w:szCs w:val="28"/>
        </w:rPr>
      </w:r>
      <w:r/>
    </w:p>
    <w:p>
      <w:pPr>
        <w:pStyle w:val="939"/>
        <w:numPr>
          <w:ilvl w:val="0"/>
          <w:numId w:val="13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</w:t>
      </w:r>
      <w:r>
        <w:rPr>
          <w:color w:val="000000"/>
          <w:sz w:val="28"/>
          <w:szCs w:val="28"/>
        </w:rPr>
        <w:t xml:space="preserve">осударственно</w:t>
      </w:r>
      <w:r>
        <w:rPr>
          <w:color w:val="000000"/>
          <w:sz w:val="28"/>
          <w:szCs w:val="28"/>
        </w:rPr>
        <w:t xml:space="preserve">му</w:t>
      </w:r>
      <w:r>
        <w:rPr>
          <w:color w:val="000000"/>
          <w:sz w:val="28"/>
          <w:szCs w:val="28"/>
        </w:rPr>
        <w:t xml:space="preserve"> автономно</w:t>
      </w:r>
      <w:r>
        <w:rPr>
          <w:color w:val="000000"/>
          <w:sz w:val="28"/>
          <w:szCs w:val="28"/>
        </w:rPr>
        <w:t xml:space="preserve">му</w:t>
      </w:r>
      <w:r>
        <w:rPr>
          <w:color w:val="000000"/>
          <w:sz w:val="28"/>
          <w:szCs w:val="28"/>
        </w:rPr>
        <w:t xml:space="preserve"> образовательно</w:t>
      </w:r>
      <w:r>
        <w:rPr>
          <w:color w:val="000000"/>
          <w:sz w:val="28"/>
          <w:szCs w:val="28"/>
        </w:rPr>
        <w:t xml:space="preserve">му учреждению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«Республиканский олимпиадный центр» Министерства образования и науки Республики Татарстан (</w:t>
      </w:r>
      <w:r>
        <w:rPr>
          <w:color w:val="000000"/>
          <w:sz w:val="28"/>
          <w:szCs w:val="28"/>
        </w:rPr>
        <w:t xml:space="preserve">Г.И.Исламова</w:t>
      </w:r>
      <w:r>
        <w:rPr>
          <w:color w:val="000000"/>
          <w:sz w:val="28"/>
          <w:szCs w:val="28"/>
        </w:rPr>
        <w:t xml:space="preserve">):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9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создать рабочую группу по проведению Олимпиады;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9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организовать информирование регионов Российской Федерации о проведении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отборочного интернет-тура для участия в Олимпиаде;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обеспечить организованную подготовку, своевременное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качественное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проведение Олимпиады в соответствии с Положение</w:t>
      </w:r>
      <w:r>
        <w:rPr>
          <w:color w:val="000000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 о проведении </w:t>
      </w:r>
      <w:r>
        <w:rPr>
          <w:color w:val="000000"/>
          <w:sz w:val="28"/>
          <w:szCs w:val="28"/>
        </w:rPr>
        <w:t xml:space="preserve">Олимпиады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9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Ведущему советнику по взаимодействию со средствами массовой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информации (</w:t>
      </w:r>
      <w:r>
        <w:rPr>
          <w:sz w:val="28"/>
          <w:szCs w:val="28"/>
        </w:rPr>
        <w:t xml:space="preserve">А.Д.Мухаметова</w:t>
      </w:r>
      <w:r>
        <w:rPr>
          <w:sz w:val="28"/>
          <w:szCs w:val="28"/>
        </w:rPr>
        <w:t xml:space="preserve">) организовать освещение мероприятий Олимпиады в средствах массовой информации и сети Интернет.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3"/>
        </w:numPr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</w:t>
      </w:r>
      <w:r>
        <w:rPr>
          <w:color w:val="000000"/>
          <w:sz w:val="28"/>
          <w:szCs w:val="28"/>
        </w:rPr>
        <w:t xml:space="preserve">муниципальным органам управления образованием</w:t>
      </w:r>
      <w:r>
        <w:rPr>
          <w:color w:val="000000"/>
          <w:sz w:val="28"/>
          <w:szCs w:val="28"/>
        </w:rPr>
        <w:t xml:space="preserve"> Республики </w:t>
      </w:r>
      <w:r>
        <w:rPr>
          <w:color w:val="000000"/>
          <w:sz w:val="28"/>
          <w:szCs w:val="28"/>
        </w:rPr>
        <w:t xml:space="preserve">Татарстан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обеспечить</w:t>
      </w:r>
      <w:r>
        <w:rPr>
          <w:color w:val="000000"/>
          <w:sz w:val="28"/>
          <w:szCs w:val="28"/>
        </w:rPr>
        <w:t xml:space="preserve"> участие обучающихся общеобразовательных организаций в Олимпиаде.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3"/>
        </w:numPr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за исполнением </w:t>
      </w:r>
      <w:r>
        <w:rPr>
          <w:color w:val="000000"/>
          <w:sz w:val="28"/>
          <w:szCs w:val="28"/>
        </w:rPr>
        <w:t xml:space="preserve">настоящего </w:t>
      </w:r>
      <w:r>
        <w:rPr>
          <w:color w:val="000000"/>
          <w:sz w:val="28"/>
          <w:szCs w:val="28"/>
        </w:rPr>
        <w:t xml:space="preserve">приказа возложить на заместителя министра </w:t>
      </w:r>
      <w:r>
        <w:rPr>
          <w:color w:val="000000"/>
          <w:sz w:val="28"/>
          <w:szCs w:val="28"/>
        </w:rPr>
        <w:t xml:space="preserve">М.З.Закирову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И.о.министра                                                                                                 А.И.Поминов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left="6663"/>
        <w:pageBreakBefore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Утверждено</w:t>
      </w:r>
      <w:r>
        <w:rPr>
          <w:color w:val="000000"/>
          <w:sz w:val="28"/>
          <w:szCs w:val="28"/>
          <w:lang w:eastAsia="ar-SA"/>
        </w:rPr>
      </w:r>
      <w:r>
        <w:rPr>
          <w:color w:val="000000"/>
          <w:sz w:val="28"/>
          <w:szCs w:val="28"/>
          <w:lang w:eastAsia="ar-SA"/>
        </w:rPr>
      </w:r>
    </w:p>
    <w:p>
      <w:pPr>
        <w:ind w:left="6663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приказом</w:t>
      </w:r>
      <w:r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 xml:space="preserve">Министерства</w:t>
      </w:r>
      <w:r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</w:r>
      <w:r>
        <w:rPr>
          <w:color w:val="000000"/>
          <w:sz w:val="28"/>
          <w:szCs w:val="28"/>
          <w:lang w:eastAsia="ar-SA"/>
        </w:rPr>
      </w:r>
    </w:p>
    <w:p>
      <w:pPr>
        <w:ind w:left="6663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образования</w:t>
      </w:r>
      <w:r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 xml:space="preserve">и</w:t>
      </w:r>
      <w:r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 xml:space="preserve">науки</w:t>
      </w:r>
      <w:r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</w:r>
      <w:r>
        <w:rPr>
          <w:color w:val="000000"/>
          <w:sz w:val="28"/>
          <w:szCs w:val="28"/>
          <w:lang w:eastAsia="ar-SA"/>
        </w:rPr>
      </w:r>
    </w:p>
    <w:p>
      <w:pPr>
        <w:ind w:left="6663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Республики</w:t>
      </w:r>
      <w:r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 xml:space="preserve">Татарстан</w:t>
      </w:r>
      <w:r>
        <w:rPr>
          <w:color w:val="000000"/>
          <w:sz w:val="28"/>
          <w:szCs w:val="28"/>
          <w:lang w:eastAsia="ar-SA"/>
        </w:rPr>
      </w:r>
      <w:r>
        <w:rPr>
          <w:color w:val="000000"/>
          <w:sz w:val="28"/>
          <w:szCs w:val="28"/>
          <w:lang w:eastAsia="ar-SA"/>
        </w:rPr>
      </w:r>
    </w:p>
    <w:p>
      <w:pPr>
        <w:ind w:left="6663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от </w:t>
      </w:r>
      <w:r>
        <w:rPr>
          <w:color w:val="000000"/>
          <w:sz w:val="28"/>
          <w:szCs w:val="28"/>
          <w:lang w:eastAsia="ar-SA"/>
        </w:rPr>
        <w:t xml:space="preserve">____________202</w:t>
      </w:r>
      <w:r>
        <w:rPr>
          <w:color w:val="000000"/>
          <w:sz w:val="28"/>
          <w:szCs w:val="28"/>
          <w:lang w:eastAsia="ar-SA"/>
        </w:rPr>
        <w:t xml:space="preserve">5 </w:t>
      </w:r>
      <w:r>
        <w:rPr>
          <w:color w:val="000000"/>
          <w:sz w:val="28"/>
          <w:szCs w:val="28"/>
          <w:lang w:eastAsia="ar-SA"/>
        </w:rPr>
        <w:t xml:space="preserve">г.</w:t>
      </w:r>
      <w:r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 xml:space="preserve">№_______________</w:t>
      </w:r>
      <w:r>
        <w:rPr>
          <w:color w:val="000000"/>
          <w:sz w:val="28"/>
          <w:szCs w:val="28"/>
          <w:lang w:eastAsia="ar-SA"/>
        </w:rPr>
      </w:r>
      <w:r>
        <w:rPr>
          <w:color w:val="000000"/>
          <w:sz w:val="28"/>
          <w:szCs w:val="28"/>
          <w:lang w:eastAsia="ar-SA"/>
        </w:rPr>
      </w:r>
    </w:p>
    <w:p>
      <w:pPr>
        <w:pStyle w:val="957"/>
        <w:jc w:val="center"/>
        <w:spacing w:before="0" w:beforeAutospacing="0" w:after="0" w:afterAutospacing="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ПОЛОЖЕНИЕ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проведении всероссийской олимпиаде школьников по предпринимательству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2024/2025 учебного года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I.</w:t>
      </w:r>
      <w:r>
        <w:rPr>
          <w:color w:val="000000"/>
          <w:sz w:val="28"/>
          <w:szCs w:val="28"/>
        </w:rPr>
        <w:tab/>
        <w:t xml:space="preserve">Общие положения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9"/>
        <w:numPr>
          <w:ilvl w:val="1"/>
          <w:numId w:val="23"/>
        </w:numPr>
        <w:ind w:left="0"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Настояще</w:t>
      </w:r>
      <w:r>
        <w:rPr>
          <w:color w:val="000000"/>
          <w:sz w:val="28"/>
          <w:szCs w:val="28"/>
        </w:rPr>
        <w:t xml:space="preserve">е Положение (далее — Положение) определяет порядок организации и проведения Всероссийской олимпиады по предпринимательству (далее — Олимпиада), ее организационное и методическое обеспечение, порядок участия в Олимпиаде, определения победителей и призеров.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9"/>
        <w:numPr>
          <w:ilvl w:val="1"/>
          <w:numId w:val="23"/>
        </w:numPr>
        <w:ind w:left="0"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Организаторами Олимпиады являются: Министерство образования и науки Республики Татарстан (далее — </w:t>
      </w:r>
      <w:r>
        <w:rPr>
          <w:color w:val="000000"/>
          <w:sz w:val="28"/>
          <w:szCs w:val="28"/>
        </w:rPr>
        <w:t xml:space="preserve">МОиН</w:t>
      </w:r>
      <w:r>
        <w:rPr>
          <w:color w:val="000000"/>
          <w:sz w:val="28"/>
          <w:szCs w:val="28"/>
        </w:rPr>
        <w:t xml:space="preserve"> РТ); Государственное автономное образовательное учреждение «Республиканский олимпиадный центр» Министерства образования и науки Республики Татарстан (далее — ГАОУ «РОЦ»).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9"/>
        <w:numPr>
          <w:ilvl w:val="1"/>
          <w:numId w:val="23"/>
        </w:numPr>
        <w:ind w:left="0"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Соорганизатором</w:t>
      </w:r>
      <w:r>
        <w:rPr>
          <w:color w:val="000000"/>
          <w:sz w:val="28"/>
          <w:szCs w:val="28"/>
        </w:rPr>
        <w:t xml:space="preserve"> Олимпиады является Акционерное общество «Особая экономическая зона промышленно-производственного типа «</w:t>
      </w:r>
      <w:r>
        <w:rPr>
          <w:color w:val="000000"/>
          <w:sz w:val="28"/>
          <w:szCs w:val="28"/>
        </w:rPr>
        <w:t xml:space="preserve">Алабуга</w:t>
      </w:r>
      <w:r>
        <w:rPr>
          <w:color w:val="000000"/>
          <w:sz w:val="28"/>
          <w:szCs w:val="28"/>
        </w:rPr>
        <w:t xml:space="preserve">» (далее — АО «ОЭЗ ППТ «</w:t>
      </w:r>
      <w:r>
        <w:rPr>
          <w:color w:val="000000"/>
          <w:sz w:val="28"/>
          <w:szCs w:val="28"/>
        </w:rPr>
        <w:t xml:space="preserve">Алабуга</w:t>
      </w:r>
      <w:r>
        <w:rPr>
          <w:color w:val="000000"/>
          <w:sz w:val="28"/>
          <w:szCs w:val="28"/>
        </w:rPr>
        <w:t xml:space="preserve">») (по согласованию).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II.</w:t>
      </w:r>
      <w:r>
        <w:rPr>
          <w:color w:val="000000"/>
          <w:sz w:val="28"/>
          <w:szCs w:val="28"/>
        </w:rPr>
        <w:tab/>
        <w:t xml:space="preserve">Цели и задачи Олимпиады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Цель Олимпиады: развитие </w:t>
      </w:r>
      <w:r>
        <w:rPr>
          <w:color w:val="000000"/>
          <w:sz w:val="28"/>
          <w:szCs w:val="28"/>
        </w:rPr>
        <w:t xml:space="preserve">компетенций</w:t>
      </w:r>
      <w:r>
        <w:rPr>
          <w:color w:val="000000"/>
          <w:sz w:val="28"/>
          <w:szCs w:val="28"/>
        </w:rPr>
        <w:t xml:space="preserve"> обучающихся в области предпринимательства и предпринимательской деятельности, а также повышения интереса к экономическому развитию Республики Татарстан и Российской Федерации в целом.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   Задачи Олимпиады: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выявление и развитие у обучающихся творческих способностей и интереса к предпринимательской деятельности, пропаганда научных знаний, содействие профессиональной ориентации школьников;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необходимых условий для поддержки одаренных детей, распространение и популяризация знаний по предпринимательской деятельности среди молодежи;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выявление интеллектуального потенциала, аналитических способностей и креати</w:t>
      </w:r>
      <w:r>
        <w:rPr>
          <w:color w:val="000000"/>
          <w:sz w:val="28"/>
          <w:szCs w:val="28"/>
        </w:rPr>
        <w:t xml:space="preserve">вности мышления молодого поколения, повышение инвестиционной и финансовой грамотности, содействие формированию всесторонне развитой личности нового поколения специалистов, призванных решать основные экономические и социальные проблемы российского общества;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содействие в выявлении талантливых детей в регионах России и подготовке высококвалифицированных кадров для финансовых рынков страны и национальной </w:t>
      </w:r>
      <w:r>
        <w:rPr>
          <w:color w:val="000000"/>
          <w:sz w:val="28"/>
          <w:szCs w:val="28"/>
        </w:rPr>
        <w:t xml:space="preserve">системы защиты прав потребителей;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содействие распростр</w:t>
      </w:r>
      <w:r>
        <w:rPr>
          <w:color w:val="000000"/>
          <w:sz w:val="28"/>
          <w:szCs w:val="28"/>
        </w:rPr>
        <w:t xml:space="preserve">анению потребительских знаний среди школьников, их учителей, родителей, формирование грамотного потребительского поведения, закрепление обычаев потребительского поведения в семейном воспитании, содействие подготовке слоя добропорядочных предпринимателей; 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привлечение внимания общественности к вопросам повышения уровня потребительских знаний и финансовой грамотности, воспитания потребительской культуры российских граждан;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оказание поддержки популяризации изучения основ потребительских знаний, с целью содействия повышению уровня жизни населения страны.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III. Организационное и методическое обеспечение Олимпиады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Организационное обеспечение Олимпиады осуществляет организационный комитет (далее – Оргкомитет) Олимпиады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3.1.1. Оргкомитет: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оргкомитета утверждает состав жюри Олимпиады, методической и апелляционной комиссий;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осуществляет координацию деятельности методической и апелляционной комиссий, утверждает результаты Олимпиады;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утверждает список победителей и призеров Олимпиады;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награждает победителей и призеров Олимпиады;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контролирует осуществление мероприятий по проведению Олимпиады в соответствии действующими нормативно-правовыми актами, органов регулирующих проведение олимпиад школьников на территории Российской Федерации;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принимает решение большинством голосов и утверждает ежегодный отчет по итогам прошедшей Олимпиады в установленные сроки.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3.1.2. Научно-методическое обеспечение Олимпиады осуществляют жюри Олимпиады, методическая и апелляционная комиссии, которые формируется из состава специалистов </w:t>
      </w:r>
      <w:r>
        <w:rPr>
          <w:color w:val="000000"/>
          <w:sz w:val="28"/>
          <w:szCs w:val="28"/>
        </w:rPr>
        <w:t xml:space="preserve">соорганизаторов</w:t>
      </w:r>
      <w:r>
        <w:rPr>
          <w:color w:val="000000"/>
          <w:sz w:val="28"/>
          <w:szCs w:val="28"/>
        </w:rPr>
        <w:t xml:space="preserve"> и партнеров Олимпиады.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Жюри Олимпиады: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проверяет и оценивает выполнение олимпиадных состязаний участниками Олимпиады;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составляет итоговый протокол Олимпиады;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определяет победителей и призеров Олимпиады;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представляет на утверждение в оргкомитет Олимпиады итоговый протокол результатов Олимпиады.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Методическая комиссия: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утверждает    методические    рекомендации   по    составлению   олимпиадных заданий, учебно-методические материалы по темам;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утверждает критерии и методики оценивания олимпиадных заданий;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утверждает для публикации олимпиадные задания и их решения, а также другие </w:t>
      </w:r>
      <w:r>
        <w:rPr>
          <w:color w:val="000000"/>
          <w:sz w:val="28"/>
          <w:szCs w:val="28"/>
        </w:rPr>
        <w:t xml:space="preserve">виды испытаний на официальном сайте Олимпиады;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утверждает и представляет в Оргкомитет отчет об итогах проведения Олимпиады.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Апелляционная комиссия: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разрешает спорную ситуацию между участниками Олимпиады и членами жюри на основании заявления, представленного участником Олимпиады;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выносит решение об утверждении или увеличении количества баллов, набранных участником Олимпиады по итогам общего голосования всех членов жюри.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 В своей деятельности оргкомитет, методическая комиссия и жюри Олимпиады руководствуются принципами профессионализма, законности, гласности, объективности и гуманизма.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3.6.</w:t>
      </w:r>
      <w:r>
        <w:rPr>
          <w:color w:val="000000"/>
          <w:sz w:val="28"/>
          <w:szCs w:val="28"/>
        </w:rPr>
        <w:tab/>
        <w:t xml:space="preserve">В месте проведения Олимпиады вправе присутствовать представители оргкомитета Олимпиады и жюри соответствующего этапа Олимпиады, должностные лица </w:t>
      </w:r>
      <w:r>
        <w:rPr>
          <w:color w:val="000000"/>
          <w:sz w:val="28"/>
          <w:szCs w:val="28"/>
        </w:rPr>
        <w:t xml:space="preserve">МОиН</w:t>
      </w:r>
      <w:r>
        <w:rPr>
          <w:color w:val="000000"/>
          <w:sz w:val="28"/>
          <w:szCs w:val="28"/>
        </w:rPr>
        <w:t xml:space="preserve"> РТ.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3.7.</w:t>
      </w:r>
      <w:r>
        <w:rPr>
          <w:color w:val="000000"/>
          <w:sz w:val="28"/>
          <w:szCs w:val="28"/>
        </w:rPr>
        <w:tab/>
        <w:t xml:space="preserve">В целях соблюдения </w:t>
      </w:r>
      <w:r>
        <w:rPr>
          <w:color w:val="000000"/>
          <w:sz w:val="28"/>
          <w:szCs w:val="28"/>
        </w:rPr>
        <w:t xml:space="preserve">академической честности в аудитории проведения Олимпиады присутствует два наблюдателя. Наблюдателями могут являться представители Организатора Олимпиады. Наблюдатели в аудитории и участники Олимпиады не должны быть из одной общеобразовательной организации.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3.8. При проведении очных этапов Олимпиады наблюдателю: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необходимо явиться на площадку проведения Олимпиады не позднее чем за час до начала Олимпиады;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запрещено оказывать содействие участникам Олимпиады при выполнении заданий;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запрещено пользоваться мобильными и другими техническими устройствами во время проведения Олимпиады, за исключением возникновения внештатных ситуаций, требующих быстрого реагирования.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3.9. В случае нарушения порядка проведения Олимпиады кем-либо из участников или возникновения обстоятельств, препятствующих выполнению участниками заданий Олимпиады, наблюдатель обязан незамедлительно уведомить об этом ответственное лицо.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3.10. До начала Олимпиады представители организатора Олимпиады проводят инструктаж участников Олимпиады и доводят до их сведения следующую информацию: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временную продолжительность проведения Олимпиады;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невозможность использования неразрешенных справочных материалов, средств связи, электронно-вычислительной техники и др.;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возможных случаях удаления участников Олимпиады при нарушении правил участия в Олимпиаде;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времени и месте ознакомления с результатами Олимпиады.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3.11.</w:t>
      </w:r>
      <w:r>
        <w:rPr>
          <w:color w:val="000000"/>
          <w:sz w:val="28"/>
          <w:szCs w:val="28"/>
        </w:rPr>
        <w:tab/>
        <w:t xml:space="preserve">Требования к оснащению рабочего места участника Олимпиады во время проведения полуфинала и финала Олимпиады: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каждому участнику Олимпиады должно быть предоставлено: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отдельное рабочее место, оборудованное персональным ИКТ-носителем;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2-3 листа бумаги формата А4 для использования в качестве черновика.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IV. Участники Олимпиады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Участниками Олимпиады являются обучающиеся 7-11 классов общеобразовательных организаций муниципальных образований Республики Татарстан и субъектов Российской Федерации 2024/2025 учебного года.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Каждый участник Олимпиады проходит в обязательном порядке процедуру регистрации самостоятельно на сайте проведения Олимпиады и заполняет данные в личном кабинете участника (</w:t>
      </w:r>
      <w:hyperlink r:id="rId16" w:tooltip="https://clck.ru/3DVhjw" w:history="1">
        <w:r>
          <w:rPr>
            <w:rStyle w:val="940"/>
            <w:sz w:val="28"/>
            <w:szCs w:val="28"/>
          </w:rPr>
          <w:t xml:space="preserve">https://clck.ru/3DVhjw</w:t>
        </w:r>
      </w:hyperlink>
      <w:r>
        <w:rPr>
          <w:color w:val="000000"/>
          <w:sz w:val="28"/>
          <w:szCs w:val="28"/>
        </w:rPr>
        <w:t xml:space="preserve">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 Во время проведения Олимпиады участники: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должны    соблюдать    настоящее   Положение   и   требования, утвержденные организатором Олимпиады к её проведению;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должны следовать указаниям представителей организатора Олимпиады;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вправе иметь справочные материалы и электронно-вычислительную технику, разрешённые к использованию во время проведения Олимпиады;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должны иметь ручку (черного или синего цвета);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должны иметь документ, удостоверяющий личность (паспорт или свидетельство о рождении);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необходимости вправе иметь при себе лекарственные препараты, разрешенные врачом.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V. Порядок и сроки проведения Олимпиады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Олимпиада проводится в три этапа: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Первый отборочный этап Олимпиады проводится заочно в дистанционном формате на НR-платформе hr.alabuga.ru (</w:t>
      </w:r>
      <w:hyperlink r:id="rId17" w:tooltip="https://clck.ru/3DVhjw" w:history="1">
        <w:r>
          <w:rPr>
            <w:rStyle w:val="940"/>
            <w:sz w:val="28"/>
            <w:szCs w:val="28"/>
          </w:rPr>
          <w:t xml:space="preserve">https://clck.ru/3DVhjw</w:t>
        </w:r>
      </w:hyperlink>
      <w:r>
        <w:rPr>
          <w:color w:val="000000"/>
          <w:sz w:val="28"/>
          <w:szCs w:val="28"/>
        </w:rPr>
        <w:t xml:space="preserve">);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Второй отборочный этап Олимпиады (полуфинал) проводится на базе </w:t>
      </w:r>
      <w:r>
        <w:rPr>
          <w:color w:val="000000"/>
          <w:sz w:val="28"/>
          <w:szCs w:val="28"/>
        </w:rPr>
        <w:t xml:space="preserve">ассессмент</w:t>
      </w:r>
      <w:r>
        <w:rPr>
          <w:color w:val="000000"/>
          <w:sz w:val="28"/>
          <w:szCs w:val="28"/>
        </w:rPr>
        <w:t xml:space="preserve">-центра Акционерного общества «Особая экономическая зона промышленно-производственного типа «</w:t>
      </w:r>
      <w:r>
        <w:rPr>
          <w:color w:val="000000"/>
          <w:sz w:val="28"/>
          <w:szCs w:val="28"/>
        </w:rPr>
        <w:t xml:space="preserve">Алабуга</w:t>
      </w:r>
      <w:r>
        <w:rPr>
          <w:color w:val="000000"/>
          <w:sz w:val="28"/>
          <w:szCs w:val="28"/>
        </w:rPr>
        <w:t xml:space="preserve">» (далее – АО «ОЭЗ ППТ «</w:t>
      </w:r>
      <w:r>
        <w:rPr>
          <w:color w:val="000000"/>
          <w:sz w:val="28"/>
          <w:szCs w:val="28"/>
        </w:rPr>
        <w:t xml:space="preserve">Алабуга</w:t>
      </w:r>
      <w:r>
        <w:rPr>
          <w:color w:val="000000"/>
          <w:sz w:val="28"/>
          <w:szCs w:val="28"/>
        </w:rPr>
        <w:t xml:space="preserve">», расположенный по адресу: Россия, Республика Татарстан, город Елабуга, Ш-2 (тер. ОЭЗ </w:t>
      </w:r>
      <w:r>
        <w:rPr>
          <w:color w:val="000000"/>
          <w:sz w:val="28"/>
          <w:szCs w:val="28"/>
        </w:rPr>
        <w:t xml:space="preserve">Алабуга</w:t>
      </w:r>
      <w:r>
        <w:rPr>
          <w:color w:val="000000"/>
          <w:sz w:val="28"/>
          <w:szCs w:val="28"/>
        </w:rPr>
        <w:t xml:space="preserve">), к. 4.;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Заключительный этап (финал) Олимпиады проводится также на базе </w:t>
      </w:r>
      <w:r>
        <w:rPr>
          <w:color w:val="000000"/>
          <w:sz w:val="28"/>
          <w:szCs w:val="28"/>
        </w:rPr>
        <w:t xml:space="preserve">ассессмент</w:t>
      </w:r>
      <w:r>
        <w:rPr>
          <w:color w:val="000000"/>
          <w:sz w:val="28"/>
          <w:szCs w:val="28"/>
        </w:rPr>
        <w:t xml:space="preserve">-центра Акционерного общества «Особая экономическая зона промышленно-производственного типа «</w:t>
      </w:r>
      <w:r>
        <w:rPr>
          <w:color w:val="000000"/>
          <w:sz w:val="28"/>
          <w:szCs w:val="28"/>
        </w:rPr>
        <w:t xml:space="preserve">Алабуга</w:t>
      </w:r>
      <w:r>
        <w:rPr>
          <w:color w:val="000000"/>
          <w:sz w:val="28"/>
          <w:szCs w:val="28"/>
        </w:rPr>
        <w:t xml:space="preserve">» (далее – АО «ОЭЗ ППТ «</w:t>
      </w:r>
      <w:r>
        <w:rPr>
          <w:color w:val="000000"/>
          <w:sz w:val="28"/>
          <w:szCs w:val="28"/>
        </w:rPr>
        <w:t xml:space="preserve">Алабуга</w:t>
      </w:r>
      <w:r>
        <w:rPr>
          <w:color w:val="000000"/>
          <w:sz w:val="28"/>
          <w:szCs w:val="28"/>
        </w:rPr>
        <w:t xml:space="preserve">», расположенный по адресу: Россия, Республика Татарстан, </w:t>
      </w:r>
      <w:r>
        <w:rPr>
          <w:color w:val="000000"/>
          <w:sz w:val="28"/>
          <w:szCs w:val="28"/>
        </w:rPr>
        <w:t xml:space="preserve">город Елабуга, Ш-2 (тер. ОЭЗ </w:t>
      </w:r>
      <w:r>
        <w:rPr>
          <w:color w:val="000000"/>
          <w:sz w:val="28"/>
          <w:szCs w:val="28"/>
        </w:rPr>
        <w:t xml:space="preserve">Алабуга</w:t>
      </w:r>
      <w:r>
        <w:rPr>
          <w:color w:val="000000"/>
          <w:sz w:val="28"/>
          <w:szCs w:val="28"/>
        </w:rPr>
        <w:t xml:space="preserve">), к. 4.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</w:rPr>
      </w:r>
    </w:p>
    <w:p>
      <w:pPr>
        <w:jc w:val="center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VI. Порядок проведения отборочных этапов Олимпиады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jc w:val="center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 Первый отборочный этап проводится заочно в дистанционном формате на базе НR-платформы hr.alabuga.ru (</w:t>
      </w:r>
      <w:hyperlink r:id="rId18" w:tooltip="https://clck.ru/3DVhjw" w:history="1">
        <w:r>
          <w:rPr>
            <w:rStyle w:val="940"/>
            <w:sz w:val="28"/>
            <w:szCs w:val="28"/>
          </w:rPr>
          <w:t xml:space="preserve">https://clck.ru/3DVhjw</w:t>
        </w:r>
      </w:hyperlink>
      <w:r>
        <w:rPr>
          <w:color w:val="000000"/>
          <w:sz w:val="28"/>
          <w:szCs w:val="28"/>
        </w:rPr>
        <w:t xml:space="preserve">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6.1.1. Задача отборочного тура — прохождение всех глав обучения на НR-платформе </w:t>
      </w:r>
      <w:r>
        <w:rPr>
          <w:color w:val="000000"/>
          <w:sz w:val="28"/>
          <w:szCs w:val="28"/>
        </w:rPr>
        <w:t xml:space="preserve">hr.alabuga.ru</w:t>
      </w:r>
      <w:r>
        <w:rPr>
          <w:color w:val="000000"/>
          <w:sz w:val="28"/>
          <w:szCs w:val="28"/>
        </w:rPr>
        <w:t xml:space="preserve">, прохождение одиночных бизнес-симуляций и достижение рейтинга не менее 1 балла.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6.1.2. При регистрации на НR-платформе </w:t>
      </w:r>
      <w:r>
        <w:rPr>
          <w:color w:val="000000"/>
          <w:sz w:val="28"/>
          <w:szCs w:val="28"/>
        </w:rPr>
        <w:t xml:space="preserve">hr.alabuga.ru</w:t>
      </w:r>
      <w:r>
        <w:rPr>
          <w:color w:val="000000"/>
          <w:sz w:val="28"/>
          <w:szCs w:val="28"/>
        </w:rPr>
        <w:t xml:space="preserve"> участник дает свое согласие на обработку персональных данных и представляет организатору Олимпиады согласие на сбор, хранение, использование, пер</w:t>
      </w:r>
      <w:r>
        <w:rPr>
          <w:color w:val="000000"/>
          <w:sz w:val="28"/>
          <w:szCs w:val="28"/>
        </w:rPr>
        <w:t xml:space="preserve">едачу персональных данных участника, а также на публикацию его результата Олимпиады, в том числе в сети «Интернет» с указанием сведений о нем (ФИО (последнее – при наличии), наименование общеобразовательной организации, класс, муниципальный район, регион).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6.1.3. Участник, заполняющий регистрационную форму несет ответственность за достоверность регистрационных данных. Претензии, связанные с неверным заполнением регистрационной формы, Оргкомитетом не принимаются и не рассматриваются.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6.1.4. После регистрации участники получают логины и пароли для доступа в систему проведения Олимпиады. Участники не имеют права передавать логин и пароль третьим лицам, и обязаны сохранять их для участия в олимпиадных состязаниях до конца Олимпиады.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6.1.5. Задания отборочного этапа размещаются на портале Олимпиады. Оргкомитет не рассылает задания участникам.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6.1.6. Во время прохождения Отборочного этапа участник проходит все главы обучения бизнес-симуляции в одиночном режиме на HR-платформе.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6.1.7. В отведенный расписанием срок проведения отборочного этапа участник регистрируется в системе проведения Олимпиады. Участник самостоятельно </w:t>
      </w:r>
      <w:r>
        <w:rPr>
          <w:color w:val="000000"/>
          <w:sz w:val="28"/>
          <w:szCs w:val="28"/>
        </w:rPr>
        <w:t xml:space="preserve">определяет время выполнения задания. Время выполнения ограничено сроком проведения Отборочного этапа. По истечению установленного времени система автоматически прекратит доступ участника к заданиям и учтет только тот результат, который был дан участником.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6.1.8. Принять участие в олимпиадном состязании первого отборочного этапа участник может неограниченное количество раз, до тех пор, пока не достигнет результат, установленный п.6.1.1. настоящего Положения Олимпиады.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6.2. Второй отборочный этап — полуфинал Олимпиады проводится очно в срок </w:t>
      </w:r>
      <w:r>
        <w:rPr>
          <w:color w:val="000000"/>
          <w:sz w:val="28"/>
          <w:szCs w:val="28"/>
        </w:rPr>
        <w:t xml:space="preserve"> на базе </w:t>
      </w:r>
      <w:r>
        <w:rPr>
          <w:color w:val="000000"/>
          <w:sz w:val="28"/>
          <w:szCs w:val="28"/>
        </w:rPr>
        <w:t xml:space="preserve">ассессмент</w:t>
      </w:r>
      <w:r>
        <w:rPr>
          <w:color w:val="000000"/>
          <w:sz w:val="28"/>
          <w:szCs w:val="28"/>
        </w:rPr>
        <w:t xml:space="preserve">-центра АО «ОЭЗ ППТ «</w:t>
      </w:r>
      <w:r>
        <w:rPr>
          <w:color w:val="000000"/>
          <w:sz w:val="28"/>
          <w:szCs w:val="28"/>
        </w:rPr>
        <w:t xml:space="preserve">Алабуга</w:t>
      </w:r>
      <w:r>
        <w:rPr>
          <w:color w:val="000000"/>
          <w:sz w:val="28"/>
          <w:szCs w:val="28"/>
        </w:rPr>
        <w:t xml:space="preserve">», расположенный по адресу: Россия, Республика Татарстан, город Елабуга г. п., Ш-2 (тер. ОЭЗ </w:t>
      </w:r>
      <w:r>
        <w:rPr>
          <w:color w:val="000000"/>
          <w:sz w:val="28"/>
          <w:szCs w:val="28"/>
        </w:rPr>
        <w:t xml:space="preserve">Алабуга</w:t>
      </w:r>
      <w:r>
        <w:rPr>
          <w:color w:val="000000"/>
          <w:sz w:val="28"/>
          <w:szCs w:val="28"/>
        </w:rPr>
        <w:t xml:space="preserve">), к. 4.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6.2.1.</w:t>
      </w:r>
      <w:r>
        <w:rPr>
          <w:color w:val="000000"/>
          <w:sz w:val="28"/>
          <w:szCs w:val="28"/>
        </w:rPr>
        <w:tab/>
        <w:t xml:space="preserve">Участники пол</w:t>
      </w:r>
      <w:r>
        <w:rPr>
          <w:color w:val="000000"/>
          <w:sz w:val="28"/>
          <w:szCs w:val="28"/>
        </w:rPr>
        <w:t xml:space="preserve">уфинала Олимпиады, набравшие максимальное количество баллов, проходят в заключительный этап (финал) Олимпиады. В спорных случаях, когда по набранным баллам невозможно определить победителей, решение об определении победителей принимает экспертная комиссия.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6.2.2.</w:t>
      </w:r>
      <w:r>
        <w:rPr>
          <w:color w:val="000000"/>
          <w:sz w:val="28"/>
          <w:szCs w:val="28"/>
        </w:rPr>
        <w:tab/>
        <w:t xml:space="preserve">Список участников полуфинала Олимпиады, прошедших в финал, направляется в оргкомитет Олимпиады, а также направляется уведомление на персональный e-</w:t>
      </w:r>
      <w:r>
        <w:rPr>
          <w:color w:val="000000"/>
          <w:sz w:val="28"/>
          <w:szCs w:val="28"/>
        </w:rPr>
        <w:t xml:space="preserve">mail</w:t>
      </w:r>
      <w:r>
        <w:rPr>
          <w:color w:val="000000"/>
          <w:sz w:val="28"/>
          <w:szCs w:val="28"/>
        </w:rPr>
        <w:t xml:space="preserve"> участника.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VII. Порядок проведения заключительного этапа (финала) Олимпиады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 Заключительный этап (финал) Олимпиады проводится с 19 по 20 апреля 2025 года на базе </w:t>
      </w:r>
      <w:r>
        <w:rPr>
          <w:color w:val="000000"/>
          <w:sz w:val="28"/>
          <w:szCs w:val="28"/>
        </w:rPr>
        <w:t xml:space="preserve">ассессмент</w:t>
      </w:r>
      <w:r>
        <w:rPr>
          <w:color w:val="000000"/>
          <w:sz w:val="28"/>
          <w:szCs w:val="28"/>
        </w:rPr>
        <w:t xml:space="preserve">-центра Акционерного общества «Особая экономическая зона промышленно-производственного типа «</w:t>
      </w:r>
      <w:r>
        <w:rPr>
          <w:color w:val="000000"/>
          <w:sz w:val="28"/>
          <w:szCs w:val="28"/>
        </w:rPr>
        <w:t xml:space="preserve">Алабуга</w:t>
      </w:r>
      <w:r>
        <w:rPr>
          <w:color w:val="000000"/>
          <w:sz w:val="28"/>
          <w:szCs w:val="28"/>
        </w:rPr>
        <w:t xml:space="preserve">» (далее – АО «ОЭЗ ППТ «</w:t>
      </w:r>
      <w:r>
        <w:rPr>
          <w:color w:val="000000"/>
          <w:sz w:val="28"/>
          <w:szCs w:val="28"/>
        </w:rPr>
        <w:t xml:space="preserve">Алабуга</w:t>
      </w:r>
      <w:r>
        <w:rPr>
          <w:color w:val="000000"/>
          <w:sz w:val="28"/>
          <w:szCs w:val="28"/>
        </w:rPr>
        <w:t xml:space="preserve">», расположенный по адресу: Россия, Республика Татарстан, город Елабуга, Ш-2 (тер. ОЭЗ </w:t>
      </w:r>
      <w:r>
        <w:rPr>
          <w:color w:val="000000"/>
          <w:sz w:val="28"/>
          <w:szCs w:val="28"/>
        </w:rPr>
        <w:t xml:space="preserve">Алабуга</w:t>
      </w:r>
      <w:r>
        <w:rPr>
          <w:color w:val="000000"/>
          <w:sz w:val="28"/>
          <w:szCs w:val="28"/>
        </w:rPr>
        <w:t xml:space="preserve">), к. 4.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7.1.2. Задача заключительного этапа (финала) Олимпиады — выявление и формирование у обучающихся творческих способностей и интереса к предпринимательской деятельности через решение экономических задач и предлагаемых кейсов.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7.2. По результатам проведения заключительного этапа (финала) Олимпиады среди участников определяются победители и призеры Олимпиады.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7.3.   Победителями заключительного этапа (финала) Олимпиады признаются участники, занявшие 1 место: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личном зачете;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командном зачете.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7.4.   Призерами заключительного этапа (финала) Олимпиады признаются участники, занявшие 2 и 3 места: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личном зачете;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командном зачете.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7.5. Список победителей и призеров заключительного этапа (финала) Олимпиады направляется в оргкомитет Олимпиады для утверждения, а также направляется уведомление всем победителям и призерам на личный e-</w:t>
      </w:r>
      <w:r>
        <w:rPr>
          <w:color w:val="000000"/>
          <w:sz w:val="28"/>
          <w:szCs w:val="28"/>
        </w:rPr>
        <w:t xml:space="preserve">mail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t xml:space="preserve">VII</w:t>
      </w:r>
      <w:bookmarkStart w:id="0" w:name="_GoBack"/>
      <w:r/>
      <w:bookmarkEnd w:id="0"/>
      <w:r>
        <w:rPr>
          <w:color w:val="000000"/>
          <w:sz w:val="28"/>
          <w:szCs w:val="28"/>
        </w:rPr>
        <w:t xml:space="preserve">I. Награждение победителей и призеров Олимпиады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8.1.</w:t>
      </w:r>
      <w:r>
        <w:rPr>
          <w:color w:val="000000"/>
          <w:sz w:val="28"/>
          <w:szCs w:val="28"/>
        </w:rPr>
        <w:tab/>
        <w:t xml:space="preserve">Победители и призеры заключительного этапа (финала) определяются на основании итоговых баллов, полученных участниками на заключительном этапе.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8.2. Победители и призеры заключительного этапа признаются победителями и призерами Олимпиады.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8.3. Победителям Олимпиады вручаются дипломы победителей олимпиады (диплом </w:t>
      </w:r>
      <w:r>
        <w:rPr>
          <w:color w:val="000000"/>
          <w:sz w:val="28"/>
          <w:szCs w:val="28"/>
          <w:lang w:val="en-US"/>
        </w:rPr>
        <w:t xml:space="preserve">I</w:t>
      </w:r>
      <w:r>
        <w:rPr>
          <w:color w:val="000000"/>
          <w:sz w:val="28"/>
          <w:szCs w:val="28"/>
        </w:rPr>
        <w:t xml:space="preserve"> степени), призерам Олимпиады — дипломы призеров олимпиады (дипломы </w:t>
      </w:r>
      <w:r>
        <w:rPr>
          <w:color w:val="000000"/>
          <w:sz w:val="28"/>
          <w:szCs w:val="28"/>
          <w:lang w:val="en-US"/>
        </w:rPr>
        <w:t xml:space="preserve">II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 xml:space="preserve">III</w:t>
      </w:r>
      <w:r>
        <w:rPr>
          <w:color w:val="000000"/>
          <w:sz w:val="28"/>
          <w:szCs w:val="28"/>
        </w:rPr>
        <w:t xml:space="preserve"> степени).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8.4. Победители и призеры Олимпиады награждаются памятными подарками от Министерства образования и науки Республики Татарстан и АО «ОЭЗ ППТ «</w:t>
      </w:r>
      <w:r>
        <w:rPr>
          <w:color w:val="000000"/>
          <w:sz w:val="28"/>
          <w:szCs w:val="28"/>
        </w:rPr>
        <w:t xml:space="preserve">Алабуга</w:t>
      </w:r>
      <w:r>
        <w:rPr>
          <w:color w:val="000000"/>
          <w:sz w:val="28"/>
          <w:szCs w:val="28"/>
        </w:rPr>
        <w:t xml:space="preserve">» (утверждаются Распоряжением со стороны </w:t>
      </w:r>
      <w:r>
        <w:rPr>
          <w:color w:val="000000"/>
          <w:sz w:val="28"/>
          <w:szCs w:val="28"/>
        </w:rPr>
        <w:t xml:space="preserve">соорганизатора</w:t>
      </w:r>
      <w:r>
        <w:rPr>
          <w:color w:val="000000"/>
          <w:sz w:val="28"/>
          <w:szCs w:val="28"/>
        </w:rPr>
        <w:t xml:space="preserve">).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567"/>
        <w:jc w:val="both"/>
        <w:widowControl w:val="off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right="-2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Microsoft Sans Serif">
    <w:panose1 w:val="020B0604020202020204"/>
  </w:font>
  <w:font w:name="Calibri">
    <w:panose1 w:val="020F0502020204030204"/>
  </w:font>
  <w:font w:name="Tahoma">
    <w:panose1 w:val="020B0604030504040204"/>
  </w:font>
  <w:font w:name="Calibri Light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7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2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9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6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3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836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72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160" w:hanging="180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436" w:hanging="72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775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612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747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846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9820" w:hanging="21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12"/>
  </w:num>
  <w:num w:numId="2">
    <w:abstractNumId w:val="21"/>
  </w:num>
  <w:num w:numId="3">
    <w:abstractNumId w:val="0"/>
  </w:num>
  <w:num w:numId="4">
    <w:abstractNumId w:val="11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</w:num>
  <w:num w:numId="9">
    <w:abstractNumId w:val="3"/>
  </w:num>
  <w:num w:numId="10">
    <w:abstractNumId w:val="8"/>
  </w:num>
  <w:num w:numId="11">
    <w:abstractNumId w:val="18"/>
  </w:num>
  <w:num w:numId="12">
    <w:abstractNumId w:val="19"/>
  </w:num>
  <w:num w:numId="13">
    <w:abstractNumId w:val="15"/>
  </w:num>
  <w:num w:numId="14">
    <w:abstractNumId w:val="22"/>
  </w:num>
  <w:num w:numId="15">
    <w:abstractNumId w:val="7"/>
  </w:num>
  <w:num w:numId="16">
    <w:abstractNumId w:val="5"/>
  </w:num>
  <w:num w:numId="17">
    <w:abstractNumId w:val="13"/>
  </w:num>
  <w:num w:numId="18">
    <w:abstractNumId w:val="17"/>
  </w:num>
  <w:num w:numId="19">
    <w:abstractNumId w:val="10"/>
  </w:num>
  <w:num w:numId="20">
    <w:abstractNumId w:val="20"/>
  </w:num>
  <w:num w:numId="21">
    <w:abstractNumId w:val="9"/>
  </w:num>
  <w:num w:numId="22">
    <w:abstractNumId w:val="16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0">
    <w:name w:val="Heading 1 Char"/>
    <w:basedOn w:val="933"/>
    <w:link w:val="931"/>
    <w:uiPriority w:val="9"/>
    <w:rPr>
      <w:rFonts w:ascii="Arial" w:hAnsi="Arial" w:eastAsia="Arial" w:cs="Arial"/>
      <w:sz w:val="40"/>
      <w:szCs w:val="40"/>
    </w:rPr>
  </w:style>
  <w:style w:type="character" w:styleId="761">
    <w:name w:val="Heading 2 Char"/>
    <w:basedOn w:val="933"/>
    <w:link w:val="932"/>
    <w:uiPriority w:val="9"/>
    <w:rPr>
      <w:rFonts w:ascii="Arial" w:hAnsi="Arial" w:eastAsia="Arial" w:cs="Arial"/>
      <w:sz w:val="34"/>
    </w:rPr>
  </w:style>
  <w:style w:type="paragraph" w:styleId="762">
    <w:name w:val="Heading 3"/>
    <w:basedOn w:val="930"/>
    <w:next w:val="930"/>
    <w:link w:val="7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3">
    <w:name w:val="Heading 3 Char"/>
    <w:basedOn w:val="933"/>
    <w:link w:val="762"/>
    <w:uiPriority w:val="9"/>
    <w:rPr>
      <w:rFonts w:ascii="Arial" w:hAnsi="Arial" w:eastAsia="Arial" w:cs="Arial"/>
      <w:sz w:val="30"/>
      <w:szCs w:val="30"/>
    </w:rPr>
  </w:style>
  <w:style w:type="paragraph" w:styleId="764">
    <w:name w:val="Heading 4"/>
    <w:basedOn w:val="930"/>
    <w:next w:val="930"/>
    <w:link w:val="7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5">
    <w:name w:val="Heading 4 Char"/>
    <w:basedOn w:val="933"/>
    <w:link w:val="764"/>
    <w:uiPriority w:val="9"/>
    <w:rPr>
      <w:rFonts w:ascii="Arial" w:hAnsi="Arial" w:eastAsia="Arial" w:cs="Arial"/>
      <w:b/>
      <w:bCs/>
      <w:sz w:val="26"/>
      <w:szCs w:val="26"/>
    </w:rPr>
  </w:style>
  <w:style w:type="paragraph" w:styleId="766">
    <w:name w:val="Heading 5"/>
    <w:basedOn w:val="930"/>
    <w:next w:val="930"/>
    <w:link w:val="7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7">
    <w:name w:val="Heading 5 Char"/>
    <w:basedOn w:val="933"/>
    <w:link w:val="766"/>
    <w:uiPriority w:val="9"/>
    <w:rPr>
      <w:rFonts w:ascii="Arial" w:hAnsi="Arial" w:eastAsia="Arial" w:cs="Arial"/>
      <w:b/>
      <w:bCs/>
      <w:sz w:val="24"/>
      <w:szCs w:val="24"/>
    </w:rPr>
  </w:style>
  <w:style w:type="paragraph" w:styleId="768">
    <w:name w:val="Heading 6"/>
    <w:basedOn w:val="930"/>
    <w:next w:val="930"/>
    <w:link w:val="7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9">
    <w:name w:val="Heading 6 Char"/>
    <w:basedOn w:val="933"/>
    <w:link w:val="768"/>
    <w:uiPriority w:val="9"/>
    <w:rPr>
      <w:rFonts w:ascii="Arial" w:hAnsi="Arial" w:eastAsia="Arial" w:cs="Arial"/>
      <w:b/>
      <w:bCs/>
      <w:sz w:val="22"/>
      <w:szCs w:val="22"/>
    </w:rPr>
  </w:style>
  <w:style w:type="paragraph" w:styleId="770">
    <w:name w:val="Heading 7"/>
    <w:basedOn w:val="930"/>
    <w:next w:val="930"/>
    <w:link w:val="7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1">
    <w:name w:val="Heading 7 Char"/>
    <w:basedOn w:val="933"/>
    <w:link w:val="7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2">
    <w:name w:val="Heading 8"/>
    <w:basedOn w:val="930"/>
    <w:next w:val="930"/>
    <w:link w:val="7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3">
    <w:name w:val="Heading 8 Char"/>
    <w:basedOn w:val="933"/>
    <w:link w:val="772"/>
    <w:uiPriority w:val="9"/>
    <w:rPr>
      <w:rFonts w:ascii="Arial" w:hAnsi="Arial" w:eastAsia="Arial" w:cs="Arial"/>
      <w:i/>
      <w:iCs/>
      <w:sz w:val="22"/>
      <w:szCs w:val="22"/>
    </w:rPr>
  </w:style>
  <w:style w:type="paragraph" w:styleId="774">
    <w:name w:val="Heading 9"/>
    <w:basedOn w:val="930"/>
    <w:next w:val="930"/>
    <w:link w:val="7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5">
    <w:name w:val="Heading 9 Char"/>
    <w:basedOn w:val="933"/>
    <w:link w:val="774"/>
    <w:uiPriority w:val="9"/>
    <w:rPr>
      <w:rFonts w:ascii="Arial" w:hAnsi="Arial" w:eastAsia="Arial" w:cs="Arial"/>
      <w:i/>
      <w:iCs/>
      <w:sz w:val="21"/>
      <w:szCs w:val="21"/>
    </w:rPr>
  </w:style>
  <w:style w:type="paragraph" w:styleId="776">
    <w:name w:val="Title"/>
    <w:basedOn w:val="930"/>
    <w:next w:val="930"/>
    <w:link w:val="7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7">
    <w:name w:val="Title Char"/>
    <w:basedOn w:val="933"/>
    <w:link w:val="776"/>
    <w:uiPriority w:val="10"/>
    <w:rPr>
      <w:sz w:val="48"/>
      <w:szCs w:val="48"/>
    </w:rPr>
  </w:style>
  <w:style w:type="paragraph" w:styleId="778">
    <w:name w:val="Subtitle"/>
    <w:basedOn w:val="930"/>
    <w:next w:val="930"/>
    <w:link w:val="779"/>
    <w:uiPriority w:val="11"/>
    <w:qFormat/>
    <w:pPr>
      <w:spacing w:before="200" w:after="200"/>
    </w:pPr>
    <w:rPr>
      <w:sz w:val="24"/>
      <w:szCs w:val="24"/>
    </w:rPr>
  </w:style>
  <w:style w:type="character" w:styleId="779">
    <w:name w:val="Subtitle Char"/>
    <w:basedOn w:val="933"/>
    <w:link w:val="778"/>
    <w:uiPriority w:val="11"/>
    <w:rPr>
      <w:sz w:val="24"/>
      <w:szCs w:val="24"/>
    </w:rPr>
  </w:style>
  <w:style w:type="paragraph" w:styleId="780">
    <w:name w:val="Quote"/>
    <w:basedOn w:val="930"/>
    <w:next w:val="930"/>
    <w:link w:val="781"/>
    <w:uiPriority w:val="29"/>
    <w:qFormat/>
    <w:pPr>
      <w:ind w:left="720" w:right="720"/>
    </w:pPr>
    <w:rPr>
      <w:i/>
    </w:rPr>
  </w:style>
  <w:style w:type="character" w:styleId="781">
    <w:name w:val="Quote Char"/>
    <w:link w:val="780"/>
    <w:uiPriority w:val="29"/>
    <w:rPr>
      <w:i/>
    </w:rPr>
  </w:style>
  <w:style w:type="paragraph" w:styleId="782">
    <w:name w:val="Intense Quote"/>
    <w:basedOn w:val="930"/>
    <w:next w:val="930"/>
    <w:link w:val="7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3">
    <w:name w:val="Intense Quote Char"/>
    <w:link w:val="782"/>
    <w:uiPriority w:val="30"/>
    <w:rPr>
      <w:i/>
    </w:rPr>
  </w:style>
  <w:style w:type="character" w:styleId="784">
    <w:name w:val="Header Char"/>
    <w:basedOn w:val="933"/>
    <w:link w:val="942"/>
    <w:uiPriority w:val="99"/>
  </w:style>
  <w:style w:type="character" w:styleId="785">
    <w:name w:val="Footer Char"/>
    <w:basedOn w:val="933"/>
    <w:link w:val="944"/>
    <w:uiPriority w:val="99"/>
  </w:style>
  <w:style w:type="paragraph" w:styleId="786">
    <w:name w:val="Caption"/>
    <w:basedOn w:val="930"/>
    <w:next w:val="9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7">
    <w:name w:val="Caption Char"/>
    <w:basedOn w:val="786"/>
    <w:link w:val="944"/>
    <w:uiPriority w:val="99"/>
  </w:style>
  <w:style w:type="table" w:styleId="788">
    <w:name w:val="Table Grid Light"/>
    <w:basedOn w:val="9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9">
    <w:name w:val="Plain Table 1"/>
    <w:basedOn w:val="9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0">
    <w:name w:val="Plain Table 2"/>
    <w:basedOn w:val="9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1">
    <w:name w:val="Plain Table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2">
    <w:name w:val="Plain Table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Plain Table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4">
    <w:name w:val="Grid Table 1 Light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4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6">
    <w:name w:val="Grid Table 4 - Accent 1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7">
    <w:name w:val="Grid Table 4 - Accent 2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Grid Table 4 - Accent 3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9">
    <w:name w:val="Grid Table 4 - Accent 4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Grid Table 4 - Accent 5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1">
    <w:name w:val="Grid Table 4 - Accent 6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2">
    <w:name w:val="Grid Table 5 Dark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3">
    <w:name w:val="Grid Table 5 Dark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6">
    <w:name w:val="Grid Table 5 Dark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28">
    <w:name w:val="Grid Table 5 Dark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9">
    <w:name w:val="Grid Table 6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0">
    <w:name w:val="Grid Table 6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1">
    <w:name w:val="Grid Table 6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2">
    <w:name w:val="Grid Table 6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3">
    <w:name w:val="Grid Table 6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4">
    <w:name w:val="Grid Table 6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5">
    <w:name w:val="Grid Table 6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6">
    <w:name w:val="Grid Table 7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1">
    <w:name w:val="List Table 2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2">
    <w:name w:val="List Table 2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3">
    <w:name w:val="List Table 2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4">
    <w:name w:val="List Table 2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5">
    <w:name w:val="List Table 2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6">
    <w:name w:val="List Table 2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7">
    <w:name w:val="List Table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5 Dark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6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9">
    <w:name w:val="List Table 6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0">
    <w:name w:val="List Table 6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1">
    <w:name w:val="List Table 6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2">
    <w:name w:val="List Table 6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3">
    <w:name w:val="List Table 6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4">
    <w:name w:val="List Table 6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5">
    <w:name w:val="List Table 7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6">
    <w:name w:val="List Table 7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87">
    <w:name w:val="List Table 7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8">
    <w:name w:val="List Table 7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9">
    <w:name w:val="List Table 7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90">
    <w:name w:val="List Table 7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91">
    <w:name w:val="List Table 7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92">
    <w:name w:val="Lined - Accent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3">
    <w:name w:val="Lined - Accent 1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94">
    <w:name w:val="Lined - Accent 2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5">
    <w:name w:val="Lined - Accent 3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6">
    <w:name w:val="Lined - Accent 4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7">
    <w:name w:val="Lined - Accent 5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98">
    <w:name w:val="Lined - Accent 6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9">
    <w:name w:val="Bordered &amp; Lined - Accent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0">
    <w:name w:val="Bordered &amp; Lined - Accent 1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01">
    <w:name w:val="Bordered &amp; Lined - Accent 2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2">
    <w:name w:val="Bordered &amp; Lined - Accent 3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3">
    <w:name w:val="Bordered &amp; Lined - Accent 4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4">
    <w:name w:val="Bordered &amp; Lined - Accent 5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05">
    <w:name w:val="Bordered &amp; Lined - Accent 6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6">
    <w:name w:val="Bordered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7">
    <w:name w:val="Bordered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8">
    <w:name w:val="Bordered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9">
    <w:name w:val="Bordered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0">
    <w:name w:val="Bordered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1">
    <w:name w:val="Bordered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2">
    <w:name w:val="Bordered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13">
    <w:name w:val="footnote text"/>
    <w:basedOn w:val="930"/>
    <w:link w:val="914"/>
    <w:uiPriority w:val="99"/>
    <w:semiHidden/>
    <w:unhideWhenUsed/>
    <w:pPr>
      <w:spacing w:after="40" w:line="240" w:lineRule="auto"/>
    </w:pPr>
    <w:rPr>
      <w:sz w:val="18"/>
    </w:rPr>
  </w:style>
  <w:style w:type="character" w:styleId="914">
    <w:name w:val="Footnote Text Char"/>
    <w:link w:val="913"/>
    <w:uiPriority w:val="99"/>
    <w:rPr>
      <w:sz w:val="18"/>
    </w:rPr>
  </w:style>
  <w:style w:type="character" w:styleId="915">
    <w:name w:val="footnote reference"/>
    <w:basedOn w:val="933"/>
    <w:uiPriority w:val="99"/>
    <w:unhideWhenUsed/>
    <w:rPr>
      <w:vertAlign w:val="superscript"/>
    </w:rPr>
  </w:style>
  <w:style w:type="paragraph" w:styleId="916">
    <w:name w:val="endnote text"/>
    <w:basedOn w:val="930"/>
    <w:link w:val="917"/>
    <w:uiPriority w:val="99"/>
    <w:semiHidden/>
    <w:unhideWhenUsed/>
    <w:pPr>
      <w:spacing w:after="0" w:line="240" w:lineRule="auto"/>
    </w:pPr>
    <w:rPr>
      <w:sz w:val="20"/>
    </w:rPr>
  </w:style>
  <w:style w:type="character" w:styleId="917">
    <w:name w:val="Endnote Text Char"/>
    <w:link w:val="916"/>
    <w:uiPriority w:val="99"/>
    <w:rPr>
      <w:sz w:val="20"/>
    </w:rPr>
  </w:style>
  <w:style w:type="character" w:styleId="918">
    <w:name w:val="endnote reference"/>
    <w:basedOn w:val="933"/>
    <w:uiPriority w:val="99"/>
    <w:semiHidden/>
    <w:unhideWhenUsed/>
    <w:rPr>
      <w:vertAlign w:val="superscript"/>
    </w:rPr>
  </w:style>
  <w:style w:type="paragraph" w:styleId="919">
    <w:name w:val="toc 1"/>
    <w:basedOn w:val="930"/>
    <w:next w:val="930"/>
    <w:uiPriority w:val="39"/>
    <w:unhideWhenUsed/>
    <w:pPr>
      <w:ind w:left="0" w:right="0" w:firstLine="0"/>
      <w:spacing w:after="57"/>
    </w:pPr>
  </w:style>
  <w:style w:type="paragraph" w:styleId="920">
    <w:name w:val="toc 2"/>
    <w:basedOn w:val="930"/>
    <w:next w:val="930"/>
    <w:uiPriority w:val="39"/>
    <w:unhideWhenUsed/>
    <w:pPr>
      <w:ind w:left="283" w:right="0" w:firstLine="0"/>
      <w:spacing w:after="57"/>
    </w:pPr>
  </w:style>
  <w:style w:type="paragraph" w:styleId="921">
    <w:name w:val="toc 3"/>
    <w:basedOn w:val="930"/>
    <w:next w:val="930"/>
    <w:uiPriority w:val="39"/>
    <w:unhideWhenUsed/>
    <w:pPr>
      <w:ind w:left="567" w:right="0" w:firstLine="0"/>
      <w:spacing w:after="57"/>
    </w:pPr>
  </w:style>
  <w:style w:type="paragraph" w:styleId="922">
    <w:name w:val="toc 4"/>
    <w:basedOn w:val="930"/>
    <w:next w:val="930"/>
    <w:uiPriority w:val="39"/>
    <w:unhideWhenUsed/>
    <w:pPr>
      <w:ind w:left="850" w:right="0" w:firstLine="0"/>
      <w:spacing w:after="57"/>
    </w:pPr>
  </w:style>
  <w:style w:type="paragraph" w:styleId="923">
    <w:name w:val="toc 5"/>
    <w:basedOn w:val="930"/>
    <w:next w:val="930"/>
    <w:uiPriority w:val="39"/>
    <w:unhideWhenUsed/>
    <w:pPr>
      <w:ind w:left="1134" w:right="0" w:firstLine="0"/>
      <w:spacing w:after="57"/>
    </w:pPr>
  </w:style>
  <w:style w:type="paragraph" w:styleId="924">
    <w:name w:val="toc 6"/>
    <w:basedOn w:val="930"/>
    <w:next w:val="930"/>
    <w:uiPriority w:val="39"/>
    <w:unhideWhenUsed/>
    <w:pPr>
      <w:ind w:left="1417" w:right="0" w:firstLine="0"/>
      <w:spacing w:after="57"/>
    </w:pPr>
  </w:style>
  <w:style w:type="paragraph" w:styleId="925">
    <w:name w:val="toc 7"/>
    <w:basedOn w:val="930"/>
    <w:next w:val="930"/>
    <w:uiPriority w:val="39"/>
    <w:unhideWhenUsed/>
    <w:pPr>
      <w:ind w:left="1701" w:right="0" w:firstLine="0"/>
      <w:spacing w:after="57"/>
    </w:pPr>
  </w:style>
  <w:style w:type="paragraph" w:styleId="926">
    <w:name w:val="toc 8"/>
    <w:basedOn w:val="930"/>
    <w:next w:val="930"/>
    <w:uiPriority w:val="39"/>
    <w:unhideWhenUsed/>
    <w:pPr>
      <w:ind w:left="1984" w:right="0" w:firstLine="0"/>
      <w:spacing w:after="57"/>
    </w:pPr>
  </w:style>
  <w:style w:type="paragraph" w:styleId="927">
    <w:name w:val="toc 9"/>
    <w:basedOn w:val="930"/>
    <w:next w:val="930"/>
    <w:uiPriority w:val="39"/>
    <w:unhideWhenUsed/>
    <w:pPr>
      <w:ind w:left="2268" w:right="0" w:firstLine="0"/>
      <w:spacing w:after="57"/>
    </w:pPr>
  </w:style>
  <w:style w:type="paragraph" w:styleId="928">
    <w:name w:val="TOC Heading"/>
    <w:uiPriority w:val="39"/>
    <w:unhideWhenUsed/>
  </w:style>
  <w:style w:type="paragraph" w:styleId="929">
    <w:name w:val="table of figures"/>
    <w:basedOn w:val="930"/>
    <w:next w:val="930"/>
    <w:uiPriority w:val="99"/>
    <w:unhideWhenUsed/>
    <w:pPr>
      <w:spacing w:after="0" w:afterAutospacing="0"/>
    </w:pPr>
  </w:style>
  <w:style w:type="paragraph" w:styleId="930" w:default="1">
    <w:name w:val="Normal"/>
    <w:qFormat/>
    <w:rPr>
      <w:sz w:val="24"/>
      <w:szCs w:val="24"/>
    </w:rPr>
  </w:style>
  <w:style w:type="paragraph" w:styleId="931">
    <w:name w:val="Heading 1"/>
    <w:basedOn w:val="930"/>
    <w:next w:val="930"/>
    <w:link w:val="947"/>
    <w:qFormat/>
    <w:pPr>
      <w:jc w:val="right"/>
      <w:keepNext/>
      <w:outlineLvl w:val="0"/>
    </w:pPr>
    <w:rPr>
      <w:b/>
      <w:sz w:val="28"/>
      <w:szCs w:val="20"/>
    </w:rPr>
  </w:style>
  <w:style w:type="paragraph" w:styleId="932">
    <w:name w:val="Heading 2"/>
    <w:basedOn w:val="930"/>
    <w:next w:val="930"/>
    <w:link w:val="958"/>
    <w:semiHidden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styleId="933" w:default="1">
    <w:name w:val="Default Paragraph Font"/>
    <w:uiPriority w:val="1"/>
    <w:semiHidden/>
    <w:unhideWhenUsed/>
  </w:style>
  <w:style w:type="table" w:styleId="9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5" w:default="1">
    <w:name w:val="No List"/>
    <w:uiPriority w:val="99"/>
    <w:semiHidden/>
    <w:unhideWhenUsed/>
  </w:style>
  <w:style w:type="table" w:styleId="936">
    <w:name w:val="Table Grid"/>
    <w:basedOn w:val="93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7">
    <w:name w:val="Balloon Text"/>
    <w:basedOn w:val="930"/>
    <w:semiHidden/>
    <w:rPr>
      <w:rFonts w:ascii="Tahoma" w:hAnsi="Tahoma" w:cs="Tahoma"/>
      <w:sz w:val="16"/>
      <w:szCs w:val="16"/>
    </w:rPr>
  </w:style>
  <w:style w:type="paragraph" w:styleId="938" w:customStyle="1">
    <w:name w:val="Название1"/>
    <w:basedOn w:val="930"/>
    <w:link w:val="953"/>
    <w:qFormat/>
    <w:pPr>
      <w:jc w:val="center"/>
    </w:pPr>
    <w:rPr>
      <w:b/>
      <w:sz w:val="27"/>
      <w:szCs w:val="20"/>
    </w:rPr>
  </w:style>
  <w:style w:type="paragraph" w:styleId="939">
    <w:name w:val="List Paragraph"/>
    <w:basedOn w:val="930"/>
    <w:uiPriority w:val="34"/>
    <w:qFormat/>
    <w:pPr>
      <w:contextualSpacing/>
      <w:ind w:left="720"/>
    </w:pPr>
  </w:style>
  <w:style w:type="character" w:styleId="940">
    <w:name w:val="Hyperlink"/>
    <w:uiPriority w:val="99"/>
    <w:rPr>
      <w:color w:val="0000ff"/>
      <w:u w:val="single"/>
    </w:rPr>
  </w:style>
  <w:style w:type="paragraph" w:styleId="941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942">
    <w:name w:val="Header"/>
    <w:basedOn w:val="930"/>
    <w:link w:val="943"/>
    <w:pPr>
      <w:tabs>
        <w:tab w:val="center" w:pos="4677" w:leader="none"/>
        <w:tab w:val="right" w:pos="9355" w:leader="none"/>
      </w:tabs>
    </w:pPr>
  </w:style>
  <w:style w:type="character" w:styleId="943" w:customStyle="1">
    <w:name w:val="Верхний колонтитул Знак"/>
    <w:link w:val="942"/>
    <w:rPr>
      <w:sz w:val="24"/>
      <w:szCs w:val="24"/>
    </w:rPr>
  </w:style>
  <w:style w:type="paragraph" w:styleId="944">
    <w:name w:val="Footer"/>
    <w:basedOn w:val="930"/>
    <w:link w:val="945"/>
    <w:pPr>
      <w:tabs>
        <w:tab w:val="center" w:pos="4677" w:leader="none"/>
        <w:tab w:val="right" w:pos="9355" w:leader="none"/>
      </w:tabs>
    </w:pPr>
  </w:style>
  <w:style w:type="character" w:styleId="945" w:customStyle="1">
    <w:name w:val="Нижний колонтитул Знак"/>
    <w:link w:val="944"/>
    <w:rPr>
      <w:sz w:val="24"/>
      <w:szCs w:val="24"/>
    </w:rPr>
  </w:style>
  <w:style w:type="character" w:styleId="946">
    <w:name w:val="Placeholder Text"/>
    <w:uiPriority w:val="99"/>
    <w:semiHidden/>
    <w:rPr>
      <w:color w:val="808080"/>
    </w:rPr>
  </w:style>
  <w:style w:type="character" w:styleId="947" w:customStyle="1">
    <w:name w:val="Заголовок 1 Знак"/>
    <w:link w:val="931"/>
    <w:rPr>
      <w:b/>
      <w:sz w:val="28"/>
    </w:rPr>
  </w:style>
  <w:style w:type="paragraph" w:styleId="948">
    <w:name w:val="Body Text Indent 2"/>
    <w:basedOn w:val="930"/>
    <w:link w:val="949"/>
    <w:pPr>
      <w:ind w:left="283"/>
      <w:spacing w:after="120" w:line="480" w:lineRule="auto"/>
    </w:pPr>
  </w:style>
  <w:style w:type="character" w:styleId="949" w:customStyle="1">
    <w:name w:val="Основной текст с отступом 2 Знак"/>
    <w:link w:val="948"/>
    <w:rPr>
      <w:sz w:val="24"/>
      <w:szCs w:val="24"/>
    </w:rPr>
  </w:style>
  <w:style w:type="paragraph" w:styleId="950">
    <w:name w:val="Body Text 2"/>
    <w:basedOn w:val="930"/>
    <w:link w:val="951"/>
    <w:pPr>
      <w:spacing w:after="120" w:line="480" w:lineRule="auto"/>
    </w:pPr>
  </w:style>
  <w:style w:type="character" w:styleId="951" w:customStyle="1">
    <w:name w:val="Основной текст 2 Знак"/>
    <w:link w:val="950"/>
    <w:rPr>
      <w:sz w:val="24"/>
      <w:szCs w:val="24"/>
    </w:rPr>
  </w:style>
  <w:style w:type="character" w:styleId="952" w:customStyle="1">
    <w:name w:val="st1"/>
  </w:style>
  <w:style w:type="character" w:styleId="953" w:customStyle="1">
    <w:name w:val="Название Знак"/>
    <w:link w:val="938"/>
    <w:rPr>
      <w:b/>
      <w:sz w:val="27"/>
    </w:rPr>
  </w:style>
  <w:style w:type="character" w:styleId="954" w:customStyle="1">
    <w:name w:val="Основной текст_"/>
    <w:link w:val="955"/>
    <w:rPr>
      <w:sz w:val="26"/>
      <w:szCs w:val="26"/>
      <w:shd w:val="clear" w:color="auto" w:fill="ffffff"/>
    </w:rPr>
  </w:style>
  <w:style w:type="paragraph" w:styleId="955" w:customStyle="1">
    <w:name w:val="Основной текст2"/>
    <w:basedOn w:val="930"/>
    <w:link w:val="954"/>
    <w:pPr>
      <w:spacing w:after="420" w:line="0" w:lineRule="atLeast"/>
      <w:shd w:val="clear" w:color="auto" w:fill="ffffff"/>
    </w:pPr>
    <w:rPr>
      <w:sz w:val="26"/>
      <w:szCs w:val="26"/>
    </w:rPr>
  </w:style>
  <w:style w:type="table" w:styleId="956" w:customStyle="1">
    <w:name w:val="Сетка таблицы1"/>
    <w:basedOn w:val="934"/>
    <w:next w:val="936"/>
    <w:uiPriority w:val="39"/>
    <w:pPr>
      <w:widowControl w:val="off"/>
    </w:pPr>
    <w:rPr>
      <w:rFonts w:ascii="Microsoft Sans Serif" w:hAnsi="Microsoft Sans Serif" w:eastAsia="Microsoft Sans Serif" w:cs="Microsoft Sans Serif"/>
      <w:sz w:val="24"/>
      <w:szCs w:val="24"/>
      <w:lang w:bidi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7" w:customStyle="1">
    <w:name w:val="Обычный (веб)1"/>
    <w:basedOn w:val="930"/>
    <w:unhideWhenUsed/>
    <w:pPr>
      <w:spacing w:before="100" w:beforeAutospacing="1" w:after="100" w:afterAutospacing="1"/>
    </w:pPr>
  </w:style>
  <w:style w:type="character" w:styleId="958" w:customStyle="1">
    <w:name w:val="Заголовок 2 Знак"/>
    <w:link w:val="932"/>
    <w:semiHidden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959">
    <w:name w:val="annotation reference"/>
    <w:basedOn w:val="933"/>
    <w:rPr>
      <w:sz w:val="16"/>
      <w:szCs w:val="16"/>
    </w:rPr>
  </w:style>
  <w:style w:type="paragraph" w:styleId="960">
    <w:name w:val="annotation text"/>
    <w:basedOn w:val="930"/>
    <w:link w:val="961"/>
    <w:rPr>
      <w:sz w:val="20"/>
      <w:szCs w:val="20"/>
    </w:rPr>
  </w:style>
  <w:style w:type="character" w:styleId="961" w:customStyle="1">
    <w:name w:val="Текст примечания Знак"/>
    <w:basedOn w:val="933"/>
    <w:link w:val="960"/>
  </w:style>
  <w:style w:type="paragraph" w:styleId="962">
    <w:name w:val="annotation subject"/>
    <w:basedOn w:val="960"/>
    <w:next w:val="960"/>
    <w:link w:val="963"/>
    <w:rPr>
      <w:b/>
      <w:bCs/>
    </w:rPr>
  </w:style>
  <w:style w:type="character" w:styleId="963" w:customStyle="1">
    <w:name w:val="Тема примечания Знак"/>
    <w:basedOn w:val="961"/>
    <w:link w:val="962"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emf"/><Relationship Id="rId16" Type="http://schemas.openxmlformats.org/officeDocument/2006/relationships/hyperlink" Target="https://clck.ru/3DVhjw" TargetMode="External"/><Relationship Id="rId17" Type="http://schemas.openxmlformats.org/officeDocument/2006/relationships/hyperlink" Target="https://clck.ru/3DVhjw" TargetMode="External"/><Relationship Id="rId18" Type="http://schemas.openxmlformats.org/officeDocument/2006/relationships/hyperlink" Target="https://clck.ru/3DVhjw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dc:description/>
  <cp:revision>4</cp:revision>
  <dcterms:created xsi:type="dcterms:W3CDTF">2024-11-22T09:40:00Z</dcterms:created>
  <dcterms:modified xsi:type="dcterms:W3CDTF">2025-02-26T12:48:09Z</dcterms:modified>
</cp:coreProperties>
</file>